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449" w:rsidRPr="005C0449" w:rsidRDefault="005C0449" w:rsidP="005C0449">
      <w:pPr>
        <w:spacing w:before="100" w:beforeAutospacing="1" w:after="100" w:afterAutospacing="1" w:line="240" w:lineRule="auto"/>
        <w:outlineLvl w:val="2"/>
        <w:rPr>
          <w:rFonts w:ascii="Times New Roman" w:eastAsia="Times New Roman" w:hAnsi="Times New Roman" w:cs="Times New Roman"/>
          <w:b/>
          <w:bCs/>
          <w:sz w:val="27"/>
          <w:szCs w:val="27"/>
          <w:lang w:eastAsia="fr-BE"/>
        </w:rPr>
      </w:pPr>
      <w:r w:rsidRPr="005C0449">
        <w:rPr>
          <w:rFonts w:ascii="Times New Roman" w:eastAsia="Times New Roman" w:hAnsi="Times New Roman" w:cs="Times New Roman"/>
          <w:b/>
          <w:bCs/>
          <w:sz w:val="27"/>
          <w:szCs w:val="27"/>
          <w:lang w:eastAsia="fr-BE"/>
        </w:rPr>
        <w:t>Résumé du numéro</w:t>
      </w:r>
    </w:p>
    <w:p w:rsidR="005C0449" w:rsidRPr="005C0449" w:rsidRDefault="005C0449" w:rsidP="005C0449">
      <w:pPr>
        <w:spacing w:before="100" w:beforeAutospacing="1" w:after="100" w:afterAutospacing="1" w:line="240" w:lineRule="auto"/>
        <w:rPr>
          <w:rFonts w:ascii="Times New Roman" w:eastAsia="Times New Roman" w:hAnsi="Times New Roman" w:cs="Times New Roman"/>
          <w:sz w:val="24"/>
          <w:szCs w:val="24"/>
          <w:lang w:eastAsia="fr-BE"/>
        </w:rPr>
      </w:pPr>
      <w:r w:rsidRPr="005C0449">
        <w:rPr>
          <w:rFonts w:ascii="Times New Roman" w:eastAsia="Times New Roman" w:hAnsi="Times New Roman" w:cs="Times New Roman"/>
          <w:sz w:val="24"/>
          <w:szCs w:val="24"/>
          <w:lang w:eastAsia="fr-BE"/>
        </w:rPr>
        <w:t>Au-delà des débats qu’elles ont suscités et qu’elles continuent à nourrir, les nouvelles dispositions relatives à la décentralisation entraînent des modifications concrètes importantes. Celles-ci se traduisent dans de nouvelles répartitions des pouvoirs et des compétences, en particulier pour ce qui concerne les politiques sociales. Parmi les enjeux abordés par les auteurs de ce dossier, la question de l’équilibre entre un État central garant de la solidarité nationale et des collectivités locales chargées de la mettre en œuvre est considérée comme majeure. Traitant de divers aspects de la décentralisation, rassemblant diverses positions, cette livraison d’Informations sociales souligne l’actualité du défi de l’égalité entre les territoires et entre les citoyens.</w:t>
      </w:r>
    </w:p>
    <w:p w:rsidR="00AF757D" w:rsidRDefault="00AF757D">
      <w:bookmarkStart w:id="0" w:name="_GoBack"/>
      <w:bookmarkEnd w:id="0"/>
    </w:p>
    <w:sectPr w:rsidR="00AF75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449"/>
    <w:rsid w:val="005C0449"/>
    <w:rsid w:val="00AF757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53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121</Words>
  <Characters>671</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bibi bb. bibi</dc:creator>
  <cp:lastModifiedBy>bibi bb. bibi</cp:lastModifiedBy>
  <cp:revision>1</cp:revision>
  <dcterms:created xsi:type="dcterms:W3CDTF">2016-12-14T14:16:00Z</dcterms:created>
  <dcterms:modified xsi:type="dcterms:W3CDTF">2016-12-14T14:17:00Z</dcterms:modified>
</cp:coreProperties>
</file>